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96" w:rsidRDefault="00DC6096" w:rsidP="00DC6096">
      <w:pPr>
        <w:jc w:val="right"/>
        <w:rPr>
          <w:rFonts w:hint="eastAsia"/>
          <w:sz w:val="20"/>
        </w:rPr>
      </w:pPr>
      <w:bookmarkStart w:id="0" w:name="_GoBack"/>
      <w:bookmarkEnd w:id="0"/>
    </w:p>
    <w:p w:rsidR="00DC6096" w:rsidRPr="00977DE2" w:rsidRDefault="00607C4A" w:rsidP="00DC6096">
      <w:pPr>
        <w:jc w:val="center"/>
        <w:rPr>
          <w:rFonts w:hint="eastAsia"/>
          <w:sz w:val="24"/>
          <w:szCs w:val="24"/>
        </w:rPr>
      </w:pPr>
      <w:r w:rsidRPr="00977DE2">
        <w:rPr>
          <w:rFonts w:hint="eastAsia"/>
          <w:sz w:val="24"/>
          <w:szCs w:val="24"/>
        </w:rPr>
        <w:t>介護保険サービス提供に係る事故報告</w:t>
      </w:r>
      <w:r>
        <w:rPr>
          <w:rFonts w:hint="eastAsia"/>
          <w:sz w:val="24"/>
          <w:szCs w:val="24"/>
        </w:rPr>
        <w:t>等</w:t>
      </w:r>
      <w:r w:rsidRPr="00977DE2">
        <w:rPr>
          <w:rFonts w:hint="eastAsia"/>
          <w:sz w:val="24"/>
          <w:szCs w:val="24"/>
        </w:rPr>
        <w:t>要領</w:t>
      </w:r>
    </w:p>
    <w:p w:rsidR="00DC6096" w:rsidRPr="00977DE2" w:rsidRDefault="00DC6096" w:rsidP="00DC6096">
      <w:pPr>
        <w:rPr>
          <w:rFonts w:hint="eastAsia"/>
          <w:sz w:val="20"/>
        </w:rPr>
      </w:pPr>
    </w:p>
    <w:p w:rsidR="00DC6096" w:rsidRPr="00977DE2" w:rsidRDefault="00607C4A" w:rsidP="00DC6096">
      <w:pPr>
        <w:pStyle w:val="a3"/>
        <w:ind w:leftChars="0" w:left="0" w:firstLine="237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指定居宅サービス事業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、指定地域密着型サービス事業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、指定居宅介護支援事業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、介護保険施設、指定介護予防サービス事業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、指定地域密着型介護予防サービス事業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又は</w:t>
      </w:r>
      <w:r>
        <w:rPr>
          <w:rFonts w:hint="eastAsia"/>
          <w:sz w:val="22"/>
          <w:szCs w:val="22"/>
        </w:rPr>
        <w:t>指定介護予防支援事業所</w:t>
      </w:r>
      <w:r w:rsidRPr="00977DE2">
        <w:rPr>
          <w:rFonts w:hint="eastAsia"/>
          <w:sz w:val="22"/>
          <w:szCs w:val="22"/>
        </w:rPr>
        <w:t>（以下</w:t>
      </w:r>
      <w:r>
        <w:rPr>
          <w:rFonts w:hint="eastAsia"/>
          <w:sz w:val="22"/>
          <w:szCs w:val="22"/>
        </w:rPr>
        <w:t>「事業所</w:t>
      </w:r>
      <w:r w:rsidRPr="00977DE2">
        <w:rPr>
          <w:rFonts w:hint="eastAsia"/>
          <w:sz w:val="22"/>
          <w:szCs w:val="22"/>
        </w:rPr>
        <w:t>」という。）において、サービスの提供等により事故が発生した場合の報告は、法令等で定めるほか、この要領に定めるところとする。</w:t>
      </w:r>
    </w:p>
    <w:p w:rsidR="00DC6096" w:rsidRPr="00977DE2" w:rsidRDefault="00DC6096" w:rsidP="00DC6096">
      <w:pPr>
        <w:rPr>
          <w:rFonts w:hint="eastAsia"/>
          <w:sz w:val="22"/>
          <w:szCs w:val="22"/>
        </w:rPr>
      </w:pPr>
    </w:p>
    <w:p w:rsidR="00DC6096" w:rsidRPr="00977DE2" w:rsidRDefault="00607C4A" w:rsidP="00DC6096">
      <w:pPr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１　報告すべき事故</w:t>
      </w:r>
    </w:p>
    <w:p w:rsidR="00DC6096" w:rsidRPr="00977DE2" w:rsidRDefault="00607C4A" w:rsidP="00DC6096">
      <w:pPr>
        <w:ind w:leftChars="100" w:left="227" w:firstLineChars="100" w:firstLine="237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次のいずれかの事故に該当</w:t>
      </w:r>
      <w:r>
        <w:rPr>
          <w:rFonts w:hint="eastAsia"/>
          <w:sz w:val="22"/>
          <w:szCs w:val="22"/>
        </w:rPr>
        <w:t>する場合は必ず報告するものとし、それ以外の事故については、事業所</w:t>
      </w:r>
      <w:r w:rsidRPr="00977DE2">
        <w:rPr>
          <w:rFonts w:hint="eastAsia"/>
          <w:sz w:val="22"/>
          <w:szCs w:val="22"/>
        </w:rPr>
        <w:t>が保険者である市町</w:t>
      </w:r>
      <w:r>
        <w:rPr>
          <w:rFonts w:hint="eastAsia"/>
          <w:sz w:val="22"/>
          <w:szCs w:val="22"/>
        </w:rPr>
        <w:t>村</w:t>
      </w:r>
      <w:r w:rsidRPr="00977DE2">
        <w:rPr>
          <w:rFonts w:hint="eastAsia"/>
          <w:sz w:val="22"/>
          <w:szCs w:val="22"/>
        </w:rPr>
        <w:t>の指示に従うも</w:t>
      </w:r>
      <w:r w:rsidRPr="00977DE2">
        <w:rPr>
          <w:rFonts w:hint="eastAsia"/>
          <w:sz w:val="22"/>
          <w:szCs w:val="22"/>
        </w:rPr>
        <w:t>のとする。</w:t>
      </w:r>
    </w:p>
    <w:p w:rsidR="00DC6096" w:rsidRPr="00977DE2" w:rsidRDefault="00607C4A" w:rsidP="00DC6096">
      <w:pPr>
        <w:ind w:leftChars="100" w:left="227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 xml:space="preserve">(1) </w:t>
      </w:r>
      <w:r w:rsidRPr="00977DE2">
        <w:rPr>
          <w:rFonts w:hint="eastAsia"/>
          <w:sz w:val="22"/>
          <w:szCs w:val="22"/>
        </w:rPr>
        <w:t>死亡事故</w:t>
      </w:r>
    </w:p>
    <w:p w:rsidR="00286539" w:rsidRDefault="00DC6096" w:rsidP="00286539">
      <w:pPr>
        <w:ind w:leftChars="100" w:left="473" w:hangingChars="104" w:hanging="246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(2) 事故発生後、利用(入所)者が医師の診察を受け、通院又は入院を要することとなった事故</w:t>
      </w:r>
    </w:p>
    <w:p w:rsidR="00DC6096" w:rsidRPr="00977DE2" w:rsidRDefault="00607C4A" w:rsidP="00286539">
      <w:pPr>
        <w:ind w:leftChars="208" w:left="472" w:firstLineChars="100" w:firstLine="237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なお、介護保険施設（併設事業所を含む。）</w:t>
      </w:r>
      <w:r w:rsidR="00224C4B" w:rsidRPr="00286539">
        <w:rPr>
          <w:rFonts w:hint="eastAsia"/>
          <w:sz w:val="22"/>
          <w:szCs w:val="22"/>
        </w:rPr>
        <w:t>の配置医師又は医師による診察</w:t>
      </w:r>
      <w:r w:rsidRPr="00977DE2">
        <w:rPr>
          <w:rFonts w:hint="eastAsia"/>
          <w:sz w:val="22"/>
          <w:szCs w:val="22"/>
        </w:rPr>
        <w:t>を含む。</w:t>
      </w:r>
    </w:p>
    <w:p w:rsidR="00DC6096" w:rsidRPr="00977DE2" w:rsidRDefault="00DC6096" w:rsidP="00DC6096">
      <w:pPr>
        <w:rPr>
          <w:rFonts w:hint="eastAsia"/>
          <w:sz w:val="22"/>
          <w:szCs w:val="22"/>
        </w:rPr>
      </w:pPr>
    </w:p>
    <w:p w:rsidR="00DC6096" w:rsidRPr="00977DE2" w:rsidRDefault="00607C4A" w:rsidP="00DC6096">
      <w:pPr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２　事故件数の報告方法</w:t>
      </w:r>
    </w:p>
    <w:p w:rsidR="00DC6096" w:rsidRPr="00977DE2" w:rsidRDefault="00607C4A" w:rsidP="00DC6096">
      <w:pPr>
        <w:ind w:firstLineChars="49" w:firstLine="116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 xml:space="preserve"> (1) </w:t>
      </w:r>
      <w:r w:rsidRPr="00977DE2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所</w:t>
      </w:r>
    </w:p>
    <w:p w:rsidR="00DC6096" w:rsidRPr="00977DE2" w:rsidRDefault="00607C4A" w:rsidP="00DC6096">
      <w:pPr>
        <w:ind w:leftChars="200" w:left="453" w:firstLineChars="100" w:firstLine="23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１に該当する</w:t>
      </w:r>
      <w:r w:rsidRPr="00977DE2">
        <w:rPr>
          <w:rFonts w:hint="eastAsia"/>
          <w:sz w:val="22"/>
          <w:szCs w:val="22"/>
        </w:rPr>
        <w:t>事故が発生した場合、事故報告様式により保険者である市町村に報告する。</w:t>
      </w:r>
    </w:p>
    <w:p w:rsidR="00DC6096" w:rsidRPr="00977DE2" w:rsidRDefault="00607C4A" w:rsidP="00DC6096">
      <w:pPr>
        <w:ind w:leftChars="200" w:left="453" w:firstLineChars="100" w:firstLine="237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なお、事故報告様式の</w:t>
      </w:r>
      <w:r>
        <w:rPr>
          <w:rFonts w:hint="eastAsia"/>
          <w:sz w:val="22"/>
          <w:szCs w:val="22"/>
        </w:rPr>
        <w:t>報告</w:t>
      </w:r>
      <w:r w:rsidRPr="00977DE2">
        <w:rPr>
          <w:rFonts w:hint="eastAsia"/>
          <w:sz w:val="22"/>
          <w:szCs w:val="22"/>
        </w:rPr>
        <w:t>事項を満たす様式を事業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で定めている場合は、当該様式によることとして差し支えない。</w:t>
      </w:r>
    </w:p>
    <w:p w:rsidR="00DC6096" w:rsidRDefault="00607C4A" w:rsidP="00DC6096">
      <w:pPr>
        <w:ind w:leftChars="200" w:left="453" w:firstLineChars="100" w:firstLine="237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また、必要に応じて居宅サービス計画、介護記録等を添付するものとする。</w:t>
      </w:r>
    </w:p>
    <w:p w:rsidR="00DC6096" w:rsidRPr="00977DE2" w:rsidRDefault="00607C4A" w:rsidP="00DC6096">
      <w:pPr>
        <w:ind w:leftChars="200" w:left="453" w:firstLineChars="100" w:firstLine="23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保険者と</w:t>
      </w:r>
      <w:r>
        <w:rPr>
          <w:rFonts w:hint="eastAsia"/>
          <w:sz w:val="22"/>
          <w:szCs w:val="22"/>
        </w:rPr>
        <w:t>事業所所在の市町が異なる場合には、当該市町に対しても同様に報告する。</w:t>
      </w:r>
    </w:p>
    <w:p w:rsidR="00DC6096" w:rsidRPr="00977DE2" w:rsidRDefault="00607C4A" w:rsidP="00DC6096">
      <w:pPr>
        <w:ind w:firstLineChars="98" w:firstLine="232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 xml:space="preserve">(2) </w:t>
      </w:r>
      <w:r w:rsidRPr="00977DE2">
        <w:rPr>
          <w:rFonts w:hint="eastAsia"/>
          <w:sz w:val="22"/>
          <w:szCs w:val="22"/>
        </w:rPr>
        <w:tab/>
      </w:r>
      <w:r w:rsidRPr="00977DE2">
        <w:rPr>
          <w:rFonts w:hint="eastAsia"/>
          <w:sz w:val="22"/>
          <w:szCs w:val="22"/>
        </w:rPr>
        <w:t>市町</w:t>
      </w:r>
    </w:p>
    <w:p w:rsidR="00DC6096" w:rsidRPr="00977DE2" w:rsidRDefault="00607C4A" w:rsidP="00DC6096">
      <w:pPr>
        <w:ind w:leftChars="200" w:left="453" w:firstLineChars="100" w:firstLine="237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から報告を受けた事故のうち、１に該当する事故について、次により県健康福祉部福祉長寿局</w:t>
      </w:r>
      <w:r>
        <w:rPr>
          <w:rFonts w:hint="eastAsia"/>
          <w:sz w:val="22"/>
          <w:szCs w:val="22"/>
        </w:rPr>
        <w:t>福祉</w:t>
      </w:r>
      <w:r w:rsidRPr="00977DE2">
        <w:rPr>
          <w:rFonts w:hint="eastAsia"/>
          <w:sz w:val="22"/>
          <w:szCs w:val="22"/>
        </w:rPr>
        <w:t>指導課（以下「県」という。）に報告する。</w:t>
      </w:r>
    </w:p>
    <w:p w:rsidR="00DC6096" w:rsidRPr="00977DE2" w:rsidRDefault="00607C4A" w:rsidP="00DC6096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報告は、事故様式アによるものとする。</w:t>
      </w:r>
    </w:p>
    <w:p w:rsidR="00DC6096" w:rsidRPr="00977DE2" w:rsidRDefault="00607C4A" w:rsidP="00DC6096">
      <w:pPr>
        <w:ind w:firstLineChars="348" w:firstLine="824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なお、事故様式アの記入方法は様式に示したとおり。</w:t>
      </w:r>
    </w:p>
    <w:p w:rsidR="00DC6096" w:rsidRPr="00977DE2" w:rsidRDefault="00607C4A" w:rsidP="00DC6096">
      <w:pPr>
        <w:pStyle w:val="3"/>
        <w:numPr>
          <w:ilvl w:val="0"/>
          <w:numId w:val="3"/>
        </w:numPr>
        <w:ind w:leftChars="0" w:firstLineChars="0"/>
        <w:rPr>
          <w:rFonts w:hint="eastAsia"/>
          <w:sz w:val="22"/>
          <w:szCs w:val="22"/>
        </w:rPr>
      </w:pPr>
      <w:r w:rsidRPr="00977DE2">
        <w:rPr>
          <w:rFonts w:hint="eastAsia"/>
          <w:sz w:val="22"/>
          <w:szCs w:val="22"/>
        </w:rPr>
        <w:t>県に対し、１月、４月、７月、１０月の各月の１０日までに前３か月の状況を報告するものとする。</w:t>
      </w:r>
    </w:p>
    <w:p w:rsidR="00DC6096" w:rsidRDefault="00607C4A" w:rsidP="00DC6096">
      <w:pPr>
        <w:pStyle w:val="3"/>
        <w:numPr>
          <w:ilvl w:val="0"/>
          <w:numId w:val="3"/>
        </w:numPr>
        <w:ind w:leftChars="0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①及び②</w:t>
      </w:r>
      <w:r w:rsidRPr="00977DE2">
        <w:rPr>
          <w:rFonts w:hint="eastAsia"/>
          <w:sz w:val="22"/>
          <w:szCs w:val="22"/>
        </w:rPr>
        <w:t>にかかわらず、死亡事故については、事業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からの報告後、直ちに提出された報告書の写しを県あてに送付する。</w:t>
      </w:r>
      <w:r w:rsidRPr="00977DE2">
        <w:rPr>
          <w:rFonts w:hint="eastAsia"/>
          <w:sz w:val="22"/>
          <w:szCs w:val="22"/>
        </w:rPr>
        <w:t>（政令市内に所在する事業</w:t>
      </w:r>
      <w:r>
        <w:rPr>
          <w:rFonts w:hint="eastAsia"/>
          <w:sz w:val="22"/>
          <w:szCs w:val="22"/>
        </w:rPr>
        <w:t>所、指定地域密着型サービス事業所</w:t>
      </w:r>
      <w:r w:rsidRPr="00977DE2">
        <w:rPr>
          <w:rFonts w:hint="eastAsia"/>
          <w:sz w:val="22"/>
          <w:szCs w:val="22"/>
        </w:rPr>
        <w:t>、指定地域密着型介護予防サービス事業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、指定介護予防支援事業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に係るものは除く。）このとき、必要に応じて、利用者の居宅サービス計画、フェースシート等を添付するとともに、事業</w:t>
      </w:r>
      <w:r>
        <w:rPr>
          <w:rFonts w:hint="eastAsia"/>
          <w:sz w:val="22"/>
          <w:szCs w:val="22"/>
        </w:rPr>
        <w:t>所</w:t>
      </w:r>
      <w:r w:rsidRPr="00977DE2">
        <w:rPr>
          <w:rFonts w:hint="eastAsia"/>
          <w:sz w:val="22"/>
          <w:szCs w:val="22"/>
        </w:rPr>
        <w:t>の状況、事故の状況等を記載する。ただし、個人を特定できる情報（氏名、住所等）は除くものとする。</w:t>
      </w:r>
    </w:p>
    <w:p w:rsidR="00DC6096" w:rsidRDefault="00DC6096" w:rsidP="00DC6096">
      <w:pPr>
        <w:pStyle w:val="3"/>
        <w:ind w:leftChars="0" w:firstLineChars="0"/>
        <w:rPr>
          <w:rFonts w:hint="eastAsia"/>
          <w:sz w:val="22"/>
          <w:szCs w:val="22"/>
        </w:rPr>
      </w:pPr>
    </w:p>
    <w:p w:rsidR="00DC6096" w:rsidRDefault="00607C4A" w:rsidP="00DC6096">
      <w:pPr>
        <w:pStyle w:val="3"/>
        <w:ind w:leftChars="0" w:firstLineChars="0" w:hanging="71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死亡事故調査</w:t>
      </w:r>
    </w:p>
    <w:p w:rsidR="00DC6096" w:rsidRDefault="00607C4A" w:rsidP="00DC6096">
      <w:pPr>
        <w:pStyle w:val="3"/>
        <w:ind w:leftChars="0" w:left="284" w:firstLineChars="0" w:hanging="28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県は、２</w:t>
      </w: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>③により、市町から報告書の写しの送付があった場合には、必要に応じて、事業所において、事故の状況、当該事故に対する事業所の対応、事業所が講じた事故防止</w:t>
      </w:r>
      <w:r>
        <w:rPr>
          <w:rFonts w:hint="eastAsia"/>
          <w:sz w:val="22"/>
          <w:szCs w:val="22"/>
        </w:rPr>
        <w:t>対策等について調査を行うものとする。</w:t>
      </w:r>
    </w:p>
    <w:p w:rsidR="00DC6096" w:rsidRPr="00977DE2" w:rsidRDefault="00607C4A" w:rsidP="00DC6096">
      <w:pPr>
        <w:pStyle w:val="3"/>
        <w:ind w:leftChars="0" w:left="284" w:firstLineChars="0" w:hanging="28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なお、調査は、必要に応じて、市町と合同で行うものとする。</w:t>
      </w:r>
    </w:p>
    <w:p w:rsidR="00004640" w:rsidRPr="00004640" w:rsidRDefault="00004640">
      <w:pPr>
        <w:ind w:leftChars="200" w:left="453"/>
        <w:rPr>
          <w:rFonts w:hint="eastAsia"/>
          <w:sz w:val="20"/>
        </w:rPr>
      </w:pPr>
    </w:p>
    <w:sectPr w:rsidR="00004640" w:rsidRPr="00004640">
      <w:pgSz w:w="11906" w:h="16838" w:code="9"/>
      <w:pgMar w:top="1134" w:right="1361" w:bottom="1134" w:left="1361" w:header="851" w:footer="992" w:gutter="0"/>
      <w:cols w:space="425"/>
      <w:docGrid w:type="linesAndChars" w:linePitch="31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6156"/>
    <w:multiLevelType w:val="hybridMultilevel"/>
    <w:tmpl w:val="74FC48A4"/>
    <w:lvl w:ilvl="0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" w15:restartNumberingAfterBreak="0">
    <w:nsid w:val="74146262"/>
    <w:multiLevelType w:val="hybridMultilevel"/>
    <w:tmpl w:val="9F36536A"/>
    <w:lvl w:ilvl="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2" w15:restartNumberingAfterBreak="0">
    <w:nsid w:val="7AC766AA"/>
    <w:multiLevelType w:val="hybridMultilevel"/>
    <w:tmpl w:val="ABF4573E"/>
    <w:lvl w:ilvl="0">
      <w:start w:val="2"/>
      <w:numFmt w:val="decimalEnclosedCircle"/>
      <w:lvlText w:val="%1"/>
      <w:lvlJc w:val="left"/>
      <w:pPr>
        <w:tabs>
          <w:tab w:val="num" w:pos="908"/>
        </w:tabs>
        <w:ind w:left="908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6"/>
    <w:rsid w:val="00004640"/>
    <w:rsid w:val="00015E9A"/>
    <w:rsid w:val="001B06A6"/>
    <w:rsid w:val="001E07B7"/>
    <w:rsid w:val="00224C4B"/>
    <w:rsid w:val="00286539"/>
    <w:rsid w:val="00307740"/>
    <w:rsid w:val="00342ACF"/>
    <w:rsid w:val="00503509"/>
    <w:rsid w:val="00607C4A"/>
    <w:rsid w:val="007334B4"/>
    <w:rsid w:val="007C629E"/>
    <w:rsid w:val="00804E39"/>
    <w:rsid w:val="008335DE"/>
    <w:rsid w:val="00932A44"/>
    <w:rsid w:val="00977DE2"/>
    <w:rsid w:val="00A33E26"/>
    <w:rsid w:val="00BE0940"/>
    <w:rsid w:val="00C406B4"/>
    <w:rsid w:val="00D25863"/>
    <w:rsid w:val="00D376DB"/>
    <w:rsid w:val="00DA63AF"/>
    <w:rsid w:val="00DC3114"/>
    <w:rsid w:val="00DC6096"/>
    <w:rsid w:val="00E119A6"/>
    <w:rsid w:val="00E46E7F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3307C-7245-4725-85C4-751C9E5E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59" w:firstLineChars="100" w:firstLine="259"/>
    </w:pPr>
  </w:style>
  <w:style w:type="paragraph" w:styleId="2">
    <w:name w:val="Body Text Indent 2"/>
    <w:basedOn w:val="a"/>
    <w:pPr>
      <w:ind w:leftChars="200" w:left="458"/>
    </w:pPr>
  </w:style>
  <w:style w:type="paragraph" w:styleId="3">
    <w:name w:val="Body Text Indent 3"/>
    <w:basedOn w:val="a"/>
    <w:pPr>
      <w:ind w:leftChars="200" w:left="717" w:hangingChars="113" w:hanging="259"/>
    </w:pPr>
    <w:rPr>
      <w:sz w:val="20"/>
    </w:rPr>
  </w:style>
  <w:style w:type="paragraph" w:styleId="a4">
    <w:name w:val="header"/>
    <w:basedOn w:val="a"/>
    <w:rsid w:val="00D376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76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1601-01-01T00:00:00Z</cp:lastPrinted>
  <dcterms:created xsi:type="dcterms:W3CDTF">2020-03-25T08:20:00Z</dcterms:created>
  <dcterms:modified xsi:type="dcterms:W3CDTF">2020-03-25T08:20:00Z</dcterms:modified>
</cp:coreProperties>
</file>