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32EA517F" w:rsidR="00346253" w:rsidRPr="003F1D4F" w:rsidRDefault="00346253" w:rsidP="00346253">
      <w:pPr>
        <w:rPr>
          <w:rFonts w:asciiTheme="majorEastAsia" w:eastAsiaTheme="majorEastAsia" w:hAnsiTheme="majorEastAsia"/>
        </w:rPr>
      </w:pPr>
      <w:r w:rsidRPr="003F1D4F">
        <w:rPr>
          <w:rFonts w:asciiTheme="majorEastAsia" w:eastAsiaTheme="majorEastAsia" w:hAnsiTheme="majorEastAsia" w:hint="eastAsia"/>
        </w:rPr>
        <w:t>様式第</w:t>
      </w:r>
      <w:r w:rsidR="00192B9A" w:rsidRPr="003F1D4F">
        <w:rPr>
          <w:rFonts w:asciiTheme="majorEastAsia" w:eastAsiaTheme="majorEastAsia" w:hAnsiTheme="majorEastAsia"/>
        </w:rPr>
        <w:t>25</w:t>
      </w:r>
    </w:p>
    <w:p w14:paraId="07221D26" w14:textId="77777777" w:rsidR="00346253" w:rsidRDefault="00346253" w:rsidP="00346253">
      <w:bookmarkStart w:id="0" w:name="_GoBack"/>
      <w:bookmarkEnd w:id="0"/>
    </w:p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DF0373D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3F1D4F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3F1D4F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3F1D4F">
        <w:rPr>
          <w:rFonts w:hint="eastAsia"/>
          <w:spacing w:val="100"/>
          <w:kern w:val="0"/>
          <w:fitText w:val="1560" w:id="1700053761"/>
        </w:rPr>
        <w:t>名称及</w:t>
      </w:r>
      <w:r w:rsidRPr="003F1D4F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3F1D4F">
        <w:rPr>
          <w:rFonts w:hint="eastAsia"/>
          <w:spacing w:val="12"/>
          <w:kern w:val="0"/>
          <w:fitText w:val="1560" w:id="1700053762"/>
        </w:rPr>
        <w:t>代表者の氏</w:t>
      </w:r>
      <w:r w:rsidRPr="003F1D4F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3E38283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92B9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3F1D4F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